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10CF2" w14:textId="77777777" w:rsidR="002D444E" w:rsidRPr="00F12286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F12286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F12286">
        <w:rPr>
          <w:rFonts w:ascii="Times New Roman" w:hAnsi="Times New Roman" w:cs="Times New Roman"/>
          <w:b/>
          <w:sz w:val="24"/>
          <w:szCs w:val="24"/>
        </w:rPr>
        <w:t xml:space="preserve"> Obrazac obrazloženja financijskog plana</w:t>
      </w:r>
    </w:p>
    <w:p w14:paraId="10DA6899" w14:textId="77777777" w:rsidR="002C7121" w:rsidRPr="002C7121" w:rsidRDefault="002C7121" w:rsidP="002C7121">
      <w:pPr>
        <w:jc w:val="both"/>
        <w:rPr>
          <w:rFonts w:ascii="Times New Roman" w:hAnsi="Times New Roman" w:cs="Times New Roman"/>
        </w:rPr>
      </w:pPr>
      <w:r w:rsidRPr="002C7121">
        <w:rPr>
          <w:rFonts w:ascii="Times New Roman" w:hAnsi="Times New Roman" w:cs="Times New Roman"/>
        </w:rPr>
        <w:t xml:space="preserve">Za sve aktivnosti i projekte koje korisnik planira u financijskom planu iz Privitka 1, primjerice </w:t>
      </w:r>
      <w:r w:rsidR="00F815A6">
        <w:rPr>
          <w:rFonts w:ascii="Times New Roman" w:hAnsi="Times New Roman" w:cs="Times New Roman"/>
        </w:rPr>
        <w:t xml:space="preserve">REDOVNA DJELATNOST, </w:t>
      </w:r>
      <w:r w:rsidRPr="002C7121">
        <w:rPr>
          <w:rFonts w:ascii="Times New Roman" w:hAnsi="Times New Roman" w:cs="Times New Roman"/>
        </w:rPr>
        <w:t xml:space="preserve">REDOVNA DJELATNOST (IZ EVIDENCIJSKIH PRIHODA), EU PROJEKTI (IZ EVIDENCIJSKIH PRIHODA), PROGRAMSKO FINANCIRANJE, OP KONKURENTNOST I KOHEZIJA 2014.-2020., OP UČINKOVITI </w:t>
      </w:r>
      <w:r w:rsidR="00F815A6">
        <w:rPr>
          <w:rFonts w:ascii="Times New Roman" w:hAnsi="Times New Roman" w:cs="Times New Roman"/>
        </w:rPr>
        <w:t>LJUDSKI POTENCIJALI 2014.-2020. i dr.</w:t>
      </w:r>
      <w:r w:rsidRPr="002C7121">
        <w:rPr>
          <w:rFonts w:ascii="Times New Roman" w:hAnsi="Times New Roman" w:cs="Times New Roman"/>
        </w:rPr>
        <w:t xml:space="preserve"> potrebno je izraditi obrazloženje prema nacrtu koji se navodi u nastavku.</w:t>
      </w:r>
    </w:p>
    <w:p w14:paraId="25EB7067" w14:textId="77777777" w:rsidR="00EF05CF" w:rsidRDefault="00EF05CF"/>
    <w:p w14:paraId="5443E972" w14:textId="77777777" w:rsidR="00EF05CF" w:rsidRPr="009D005B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Sažetak djelokruga rada proračunskog korisnika</w:t>
      </w:r>
    </w:p>
    <w:p w14:paraId="22C4A5F6" w14:textId="77777777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>Fakultet političkih znanosti Sveučilišta u Zagrebu je javna ustanova, javno visoko učilište, sastavnica Sveučilišta u Zagrebu, koje ustrojava i izvodi sveučilišne studije u skladu sa Zakonom o znanstvenoj djelatnosti i visokom obrazovanju i Statutom Fakulteta, te razvija znanstveni i stručni rad u znanstvenom polju politologije  i srodnim poljima.</w:t>
      </w:r>
    </w:p>
    <w:p w14:paraId="6D1FA355" w14:textId="77777777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</w:p>
    <w:p w14:paraId="71C9F354" w14:textId="77777777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 xml:space="preserve">Fakultet političkih znanosti Sveučilišta u Zagrebu je pravna osoba upisana u sudski registar ustanova i upisnik visokih učilišta i znanstvenoistraživačkih pravnih osoba, koji se vodi u Ministarstvu znanosti, obrazovanja i sporta Republike Hrvatske, te djeluje samostalno na načelu akademske samouprave i akademskih sloboda. </w:t>
      </w:r>
    </w:p>
    <w:p w14:paraId="6B88DCAB" w14:textId="77777777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 xml:space="preserve">Na Fakultetu političkih znanosti izvode se preddiplomski sveučilišni studiji Politologija i Novinarstvo, diplomski sveučilišni studiji Politologija, Novinarstvo i Master </w:t>
      </w:r>
      <w:proofErr w:type="spellStart"/>
      <w:r w:rsidRPr="00BB151E">
        <w:rPr>
          <w:rFonts w:cstheme="minorHAnsi"/>
          <w:bCs/>
          <w:sz w:val="24"/>
          <w:szCs w:val="24"/>
        </w:rPr>
        <w:t>of</w:t>
      </w:r>
      <w:proofErr w:type="spellEnd"/>
      <w:r w:rsidRPr="00BB151E">
        <w:rPr>
          <w:rFonts w:cstheme="minorHAnsi"/>
          <w:bCs/>
          <w:sz w:val="24"/>
          <w:szCs w:val="24"/>
        </w:rPr>
        <w:t xml:space="preserve"> European </w:t>
      </w:r>
      <w:proofErr w:type="spellStart"/>
      <w:r w:rsidRPr="00BB151E">
        <w:rPr>
          <w:rFonts w:cstheme="minorHAnsi"/>
          <w:bCs/>
          <w:sz w:val="24"/>
          <w:szCs w:val="24"/>
        </w:rPr>
        <w:t>Studies</w:t>
      </w:r>
      <w:proofErr w:type="spellEnd"/>
      <w:r w:rsidRPr="00BB151E">
        <w:rPr>
          <w:rFonts w:cstheme="minorHAnsi"/>
          <w:bCs/>
          <w:sz w:val="24"/>
          <w:szCs w:val="24"/>
        </w:rPr>
        <w:t xml:space="preserve"> (na Engleskom jeziku), doktorski studij Politologija te poslijediplomski specijalistički studiji Prilagodba Europskoj Uniji, Vanjska politika i diplomacija, Odnosi s javnošću te Sigurnosna politika Republike Hrvatske. Na Fakultetu političkih znanosti djeluju Televizija student, Radio student i studentske novine Global, koji djeluju i kao studentski mediji s radijskim i televizijskim programom te internetskim portalima. </w:t>
      </w:r>
    </w:p>
    <w:p w14:paraId="7C866F66" w14:textId="5C5B17B0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>Na Fakultet je u akademskoj godini 202</w:t>
      </w:r>
      <w:r w:rsidR="00364BA6">
        <w:rPr>
          <w:rFonts w:cstheme="minorHAnsi"/>
          <w:bCs/>
          <w:sz w:val="24"/>
          <w:szCs w:val="24"/>
        </w:rPr>
        <w:t>2</w:t>
      </w:r>
      <w:r w:rsidR="00791222">
        <w:rPr>
          <w:rFonts w:cstheme="minorHAnsi"/>
          <w:bCs/>
          <w:sz w:val="24"/>
          <w:szCs w:val="24"/>
        </w:rPr>
        <w:t>.</w:t>
      </w:r>
      <w:r w:rsidRPr="00BB151E">
        <w:rPr>
          <w:rFonts w:cstheme="minorHAnsi"/>
          <w:bCs/>
          <w:sz w:val="24"/>
          <w:szCs w:val="24"/>
        </w:rPr>
        <w:t>/202</w:t>
      </w:r>
      <w:r w:rsidR="00364BA6">
        <w:rPr>
          <w:rFonts w:cstheme="minorHAnsi"/>
          <w:bCs/>
          <w:sz w:val="24"/>
          <w:szCs w:val="24"/>
        </w:rPr>
        <w:t>3</w:t>
      </w:r>
      <w:r w:rsidR="00791222">
        <w:rPr>
          <w:rFonts w:cstheme="minorHAnsi"/>
          <w:bCs/>
          <w:sz w:val="24"/>
          <w:szCs w:val="24"/>
        </w:rPr>
        <w:t>.</w:t>
      </w:r>
      <w:r w:rsidRPr="00BB151E">
        <w:rPr>
          <w:rFonts w:cstheme="minorHAnsi"/>
          <w:bCs/>
          <w:sz w:val="24"/>
          <w:szCs w:val="24"/>
        </w:rPr>
        <w:t xml:space="preserve"> upisano </w:t>
      </w:r>
      <w:r w:rsidR="0083423C">
        <w:rPr>
          <w:rFonts w:cstheme="minorHAnsi"/>
          <w:bCs/>
          <w:sz w:val="24"/>
          <w:szCs w:val="24"/>
        </w:rPr>
        <w:t>1196</w:t>
      </w:r>
      <w:r w:rsidRPr="00BB151E">
        <w:rPr>
          <w:rFonts w:cstheme="minorHAnsi"/>
          <w:bCs/>
          <w:sz w:val="24"/>
          <w:szCs w:val="24"/>
        </w:rPr>
        <w:t xml:space="preserve"> studenata na preddiplomskim i diplomskim studijima, dok </w:t>
      </w:r>
      <w:r>
        <w:rPr>
          <w:rFonts w:cstheme="minorHAnsi"/>
          <w:bCs/>
          <w:sz w:val="24"/>
          <w:szCs w:val="24"/>
        </w:rPr>
        <w:t xml:space="preserve">je </w:t>
      </w:r>
      <w:r w:rsidR="00B3415F">
        <w:rPr>
          <w:rFonts w:cstheme="minorHAnsi"/>
          <w:bCs/>
          <w:sz w:val="24"/>
          <w:szCs w:val="24"/>
        </w:rPr>
        <w:t>124</w:t>
      </w:r>
      <w:r w:rsidRPr="00BB151E">
        <w:rPr>
          <w:rFonts w:cstheme="minorHAnsi"/>
          <w:bCs/>
          <w:sz w:val="24"/>
          <w:szCs w:val="24"/>
        </w:rPr>
        <w:t xml:space="preserve"> studenata upisan</w:t>
      </w:r>
      <w:r>
        <w:rPr>
          <w:rFonts w:cstheme="minorHAnsi"/>
          <w:bCs/>
          <w:sz w:val="24"/>
          <w:szCs w:val="24"/>
        </w:rPr>
        <w:t>o</w:t>
      </w:r>
      <w:r w:rsidRPr="00BB151E">
        <w:rPr>
          <w:rFonts w:cstheme="minorHAnsi"/>
          <w:bCs/>
          <w:sz w:val="24"/>
          <w:szCs w:val="24"/>
        </w:rPr>
        <w:t xml:space="preserve"> na poslijediplomske specijalističke </w:t>
      </w:r>
      <w:r>
        <w:rPr>
          <w:rFonts w:cstheme="minorHAnsi"/>
          <w:bCs/>
          <w:sz w:val="24"/>
          <w:szCs w:val="24"/>
        </w:rPr>
        <w:t xml:space="preserve">i doktorske </w:t>
      </w:r>
      <w:r w:rsidRPr="00BB151E">
        <w:rPr>
          <w:rFonts w:cstheme="minorHAnsi"/>
          <w:bCs/>
          <w:sz w:val="24"/>
          <w:szCs w:val="24"/>
        </w:rPr>
        <w:t>studije.</w:t>
      </w:r>
    </w:p>
    <w:p w14:paraId="4C6C8FD2" w14:textId="11CEDDA8" w:rsidR="00BC3FEF" w:rsidRPr="00BB151E" w:rsidRDefault="00BC3FEF" w:rsidP="00BC3FEF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 xml:space="preserve">Ukupno na fakultetu radi </w:t>
      </w:r>
      <w:r w:rsidR="003A453F">
        <w:rPr>
          <w:rFonts w:cstheme="minorHAnsi"/>
          <w:bCs/>
          <w:sz w:val="24"/>
          <w:szCs w:val="24"/>
        </w:rPr>
        <w:t>68</w:t>
      </w:r>
      <w:r w:rsidR="00E46AC3">
        <w:rPr>
          <w:rFonts w:cstheme="minorHAnsi"/>
          <w:bCs/>
          <w:sz w:val="24"/>
          <w:szCs w:val="24"/>
        </w:rPr>
        <w:t xml:space="preserve"> </w:t>
      </w:r>
      <w:r w:rsidRPr="00BB151E">
        <w:rPr>
          <w:rFonts w:cstheme="minorHAnsi"/>
          <w:bCs/>
          <w:sz w:val="24"/>
          <w:szCs w:val="24"/>
        </w:rPr>
        <w:t xml:space="preserve">zaposlenika u znanstveno-nastavnom zvanju, </w:t>
      </w:r>
      <w:r w:rsidR="003A453F">
        <w:rPr>
          <w:rFonts w:cstheme="minorHAnsi"/>
          <w:bCs/>
          <w:sz w:val="24"/>
          <w:szCs w:val="24"/>
        </w:rPr>
        <w:t>5</w:t>
      </w:r>
      <w:r w:rsidRPr="00BB151E">
        <w:rPr>
          <w:rFonts w:cstheme="minorHAnsi"/>
          <w:bCs/>
          <w:sz w:val="24"/>
          <w:szCs w:val="24"/>
        </w:rPr>
        <w:t xml:space="preserve"> zaposlenika u suradničkom zvanju te </w:t>
      </w:r>
      <w:r w:rsidR="003A453F">
        <w:rPr>
          <w:rFonts w:cstheme="minorHAnsi"/>
          <w:bCs/>
          <w:sz w:val="24"/>
          <w:szCs w:val="24"/>
        </w:rPr>
        <w:t>9</w:t>
      </w:r>
      <w:r w:rsidRPr="00BB151E">
        <w:rPr>
          <w:rFonts w:cstheme="minorHAnsi"/>
          <w:bCs/>
          <w:sz w:val="24"/>
          <w:szCs w:val="24"/>
        </w:rPr>
        <w:t xml:space="preserve"> zaposlenika u zvanju predavača. Omjer studenata i nastavnika na preddiplomskom i diplomskom studiju iznosi </w:t>
      </w:r>
      <w:r w:rsidR="007A2BC9">
        <w:rPr>
          <w:rFonts w:cstheme="minorHAnsi"/>
          <w:bCs/>
          <w:sz w:val="24"/>
          <w:szCs w:val="24"/>
        </w:rPr>
        <w:t>oko 16:1</w:t>
      </w:r>
      <w:r w:rsidRPr="00BB151E">
        <w:rPr>
          <w:rFonts w:cstheme="minorHAnsi"/>
          <w:bCs/>
          <w:sz w:val="24"/>
          <w:szCs w:val="24"/>
        </w:rPr>
        <w:t>, odnosno oko 18</w:t>
      </w:r>
      <w:r w:rsidR="007A2BC9">
        <w:rPr>
          <w:rFonts w:cstheme="minorHAnsi"/>
          <w:bCs/>
          <w:sz w:val="24"/>
          <w:szCs w:val="24"/>
        </w:rPr>
        <w:t>:1</w:t>
      </w:r>
      <w:r w:rsidRPr="00BB151E">
        <w:rPr>
          <w:rFonts w:cstheme="minorHAnsi"/>
          <w:bCs/>
          <w:sz w:val="24"/>
          <w:szCs w:val="24"/>
        </w:rPr>
        <w:t xml:space="preserve"> kad se ukupno gledaju svi studiji. </w:t>
      </w:r>
    </w:p>
    <w:p w14:paraId="0C6DB4C5" w14:textId="77777777" w:rsidR="00BB47B9" w:rsidRDefault="00BB47B9" w:rsidP="00BB47B9">
      <w:pPr>
        <w:jc w:val="both"/>
      </w:pPr>
    </w:p>
    <w:p w14:paraId="67BC8F1A" w14:textId="77777777" w:rsidR="00F815A6" w:rsidRPr="009D005B" w:rsidRDefault="00F815A6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9D005B">
        <w:rPr>
          <w:b/>
          <w:sz w:val="28"/>
        </w:rPr>
        <w:t>Šifra i naziv aktivnosti/ projekta</w:t>
      </w:r>
    </w:p>
    <w:p w14:paraId="47CAD8B9" w14:textId="77777777" w:rsidR="00F815A6" w:rsidRPr="009D005B" w:rsidRDefault="00F815A6" w:rsidP="00F815A6">
      <w:pPr>
        <w:jc w:val="both"/>
      </w:pPr>
      <w:r w:rsidRPr="009D005B">
        <w:t>Obrazac za unos teksta:</w:t>
      </w:r>
    </w:p>
    <w:p w14:paraId="4BE909D9" w14:textId="77777777" w:rsidR="00F815A6" w:rsidRPr="009D005B" w:rsidRDefault="00F815A6" w:rsidP="00F815A6">
      <w:pPr>
        <w:spacing w:after="0"/>
        <w:jc w:val="both"/>
        <w:rPr>
          <w:i/>
        </w:rPr>
      </w:pPr>
      <w:r w:rsidRPr="009D005B">
        <w:rPr>
          <w:i/>
        </w:rPr>
        <w:t>Zakonske i druge pravne osnove</w:t>
      </w:r>
    </w:p>
    <w:p w14:paraId="462B9F1A" w14:textId="77777777" w:rsidR="001B0F7A" w:rsidRDefault="001B0F7A" w:rsidP="001B0F7A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1B0F7A">
        <w:rPr>
          <w:i/>
        </w:rPr>
        <w:t>Zakon o znanstvenoj djelatnosti i visokom obrazovanju</w:t>
      </w:r>
      <w:r>
        <w:rPr>
          <w:i/>
        </w:rPr>
        <w:t>, članak</w:t>
      </w:r>
    </w:p>
    <w:p w14:paraId="1283770C" w14:textId="77777777" w:rsidR="00F815A6" w:rsidRPr="009D005B" w:rsidRDefault="003239CD" w:rsidP="003239CD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3239CD">
        <w:rPr>
          <w:i/>
        </w:rPr>
        <w:t xml:space="preserve">Uredba o nazivima radnih mjesta i koeficijentima složenosti poslova u javnim službama  </w:t>
      </w:r>
    </w:p>
    <w:p w14:paraId="587ACF97" w14:textId="1392F38D" w:rsidR="00F815A6" w:rsidRDefault="003239CD" w:rsidP="003239CD">
      <w:pPr>
        <w:pStyle w:val="ListParagraph"/>
        <w:numPr>
          <w:ilvl w:val="0"/>
          <w:numId w:val="1"/>
        </w:numPr>
        <w:jc w:val="both"/>
        <w:rPr>
          <w:i/>
        </w:rPr>
      </w:pPr>
      <w:r w:rsidRPr="003239CD">
        <w:rPr>
          <w:i/>
        </w:rPr>
        <w:t>Temeljni kolektivni ugovor za službenike i namještenike u javnim službama</w:t>
      </w:r>
    </w:p>
    <w:p w14:paraId="3163484F" w14:textId="77777777" w:rsidR="00BC3FEF" w:rsidRDefault="00BC3FEF" w:rsidP="00BC3FEF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Statut Sveučilišta u Zagrebu</w:t>
      </w:r>
    </w:p>
    <w:p w14:paraId="48D9DA09" w14:textId="39618DE3" w:rsidR="00BC3FEF" w:rsidRDefault="00BC3FEF" w:rsidP="00BC3FEF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Statut Fakulteta političkih znanosti</w:t>
      </w:r>
    </w:p>
    <w:p w14:paraId="6E8D1282" w14:textId="119D6CFA" w:rsidR="008E0EFD" w:rsidRPr="008E0EFD" w:rsidRDefault="008E0EFD" w:rsidP="008E0EFD">
      <w:pPr>
        <w:pStyle w:val="ListParagraph"/>
        <w:numPr>
          <w:ilvl w:val="0"/>
          <w:numId w:val="1"/>
        </w:numPr>
        <w:jc w:val="both"/>
        <w:rPr>
          <w:i/>
          <w:iCs/>
          <w:sz w:val="18"/>
          <w:szCs w:val="18"/>
        </w:rPr>
      </w:pPr>
      <w:r w:rsidRPr="00094411">
        <w:rPr>
          <w:i/>
          <w:iCs/>
        </w:rPr>
        <w:lastRenderedPageBreak/>
        <w:t>Strategija Fakulteta političkih znanosti za razdoblje 2021-2026</w:t>
      </w:r>
    </w:p>
    <w:p w14:paraId="07963720" w14:textId="127D484E" w:rsidR="00BC3FEF" w:rsidRPr="00BC3FEF" w:rsidRDefault="00BC3FEF" w:rsidP="00BC3FEF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Strateški plan znanstvenih istraživanja Fakulteta političkih znanosti</w:t>
      </w:r>
    </w:p>
    <w:p w14:paraId="36B79AAF" w14:textId="77777777" w:rsidR="00F815A6" w:rsidRPr="009D005B" w:rsidRDefault="00F815A6" w:rsidP="00F815A6">
      <w:pPr>
        <w:spacing w:before="240"/>
        <w:jc w:val="both"/>
        <w:rPr>
          <w:i/>
        </w:rPr>
      </w:pPr>
      <w:r w:rsidRPr="009D005B">
        <w:rPr>
          <w:i/>
        </w:rPr>
        <w:t xml:space="preserve">Ova aktivnost/ projekt sastoji se od sljedećih elemenata/ </w:t>
      </w:r>
      <w:proofErr w:type="spellStart"/>
      <w:r w:rsidRPr="009D005B">
        <w:rPr>
          <w:i/>
        </w:rPr>
        <w:t>podaktivnosti</w:t>
      </w:r>
      <w:proofErr w:type="spellEnd"/>
      <w:r w:rsidRPr="009D005B">
        <w:rPr>
          <w:i/>
        </w:rPr>
        <w:t>:</w:t>
      </w:r>
    </w:p>
    <w:p w14:paraId="3CB60DBB" w14:textId="4B7A2373" w:rsidR="00F815A6" w:rsidRDefault="000C3720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Rashodi za plaće i materijalna prava</w:t>
      </w:r>
    </w:p>
    <w:p w14:paraId="27AEC2E1" w14:textId="139C72B4" w:rsidR="00D3081C" w:rsidRDefault="00D3081C" w:rsidP="00D3081C">
      <w:pPr>
        <w:jc w:val="both"/>
        <w:rPr>
          <w:i/>
        </w:rPr>
      </w:pPr>
      <w:r w:rsidRPr="009D005B">
        <w:rPr>
          <w:i/>
        </w:rPr>
        <w:t>Ova aktivnost provodi se svake godine</w:t>
      </w:r>
      <w:r>
        <w:rPr>
          <w:i/>
        </w:rPr>
        <w:t xml:space="preserve"> i odnosi se na plaće i materijalne rashode zaposlenika koji se financiraju iz državnog proračuna temeljem ukupne mase koeficijenata za plaće, redovnog napredovanja i izmjene propisa koji se odnose na obračun plaća</w:t>
      </w:r>
      <w:r w:rsidRPr="009D005B">
        <w:rPr>
          <w:i/>
        </w:rPr>
        <w:t xml:space="preserve">.  </w:t>
      </w:r>
    </w:p>
    <w:p w14:paraId="73E912E4" w14:textId="3E14E49B" w:rsidR="009F6780" w:rsidRPr="00D3081C" w:rsidRDefault="009F6780" w:rsidP="00D3081C">
      <w:pPr>
        <w:jc w:val="both"/>
        <w:rPr>
          <w:i/>
        </w:rPr>
      </w:pPr>
      <w:r w:rsidRPr="009D005B">
        <w:rPr>
          <w:i/>
        </w:rPr>
        <w:t>U razdoblju 202</w:t>
      </w:r>
      <w:r w:rsidR="00364BA6">
        <w:rPr>
          <w:i/>
        </w:rPr>
        <w:t>4</w:t>
      </w:r>
      <w:r w:rsidRPr="009D005B">
        <w:rPr>
          <w:i/>
        </w:rPr>
        <w:t>. – 202</w:t>
      </w:r>
      <w:r w:rsidR="00364BA6">
        <w:rPr>
          <w:i/>
        </w:rPr>
        <w:t>6</w:t>
      </w:r>
      <w:r w:rsidRPr="009D005B">
        <w:rPr>
          <w:i/>
        </w:rPr>
        <w:t xml:space="preserve">. očekuje se ostvarenje sljedećeg: </w:t>
      </w:r>
      <w:r>
        <w:rPr>
          <w:i/>
        </w:rPr>
        <w:t>održavanje broja zaposlenih na istoj razini uz redovita napredovanja zaposlenih u znanstveno-nastavnim i stručnim zvanjima te zapošljavanje novih zaposlenika kao zamjena za zaposlenike koji odlaze u mirovinu.</w:t>
      </w:r>
    </w:p>
    <w:p w14:paraId="2F3996D3" w14:textId="45CC124E" w:rsidR="00F815A6" w:rsidRDefault="000C3720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Rashodi iz programskog financiranja javnih visokih učilišta </w:t>
      </w:r>
    </w:p>
    <w:p w14:paraId="40E705B7" w14:textId="5960D07C" w:rsidR="00D3081C" w:rsidRDefault="00D3081C" w:rsidP="00D3081C">
      <w:pPr>
        <w:jc w:val="both"/>
        <w:rPr>
          <w:i/>
        </w:rPr>
      </w:pPr>
      <w:r w:rsidRPr="009D005B">
        <w:rPr>
          <w:i/>
        </w:rPr>
        <w:t>Ova aktivnost provodi se svake godine</w:t>
      </w:r>
      <w:r>
        <w:rPr>
          <w:i/>
        </w:rPr>
        <w:t>, rashodi se odnose na unaprjeđenje kvalitete nastave</w:t>
      </w:r>
      <w:r w:rsidR="00DB5CD7">
        <w:rPr>
          <w:i/>
        </w:rPr>
        <w:t>, nabavu nastavne opreme i literature, troškove režija i održavanja opreme</w:t>
      </w:r>
      <w:r>
        <w:rPr>
          <w:i/>
        </w:rPr>
        <w:t>, isplatu naknada za rad vanjskih suradnika u nastavi</w:t>
      </w:r>
      <w:r w:rsidR="007409F4">
        <w:rPr>
          <w:i/>
        </w:rPr>
        <w:t>, troškove usavršavanja znanstveno-nastavnog osoblja.</w:t>
      </w:r>
    </w:p>
    <w:p w14:paraId="00BF8EA5" w14:textId="6CEA7BB1" w:rsidR="009F6780" w:rsidRPr="00D3081C" w:rsidRDefault="009F6780" w:rsidP="009F6780">
      <w:pPr>
        <w:jc w:val="both"/>
        <w:rPr>
          <w:i/>
        </w:rPr>
      </w:pPr>
      <w:r w:rsidRPr="009D005B">
        <w:rPr>
          <w:i/>
        </w:rPr>
        <w:t>U razdoblju 202</w:t>
      </w:r>
      <w:r w:rsidR="003A453F">
        <w:rPr>
          <w:i/>
        </w:rPr>
        <w:t>4</w:t>
      </w:r>
      <w:r w:rsidRPr="009D005B">
        <w:rPr>
          <w:i/>
        </w:rPr>
        <w:t>. – 202</w:t>
      </w:r>
      <w:r w:rsidR="003A453F">
        <w:rPr>
          <w:i/>
        </w:rPr>
        <w:t>6</w:t>
      </w:r>
      <w:r w:rsidR="0080295E">
        <w:rPr>
          <w:i/>
        </w:rPr>
        <w:t>.</w:t>
      </w:r>
      <w:r w:rsidRPr="009D005B">
        <w:rPr>
          <w:i/>
        </w:rPr>
        <w:t xml:space="preserve"> očekuje se ostvarenje sljedećeg: </w:t>
      </w:r>
      <w:r>
        <w:rPr>
          <w:i/>
        </w:rPr>
        <w:t xml:space="preserve">redovito obnavljanje fonda nastavne i znanstvene literature te znanstvene i nastavne opreme, angažiranje vanjskih suradnika na studiju novinarstva kako bi se osiguralo redovito održavanje nastave na stručnim predmetima studija u dosadašnjem opsegu, te podržavanje usavršavanja znanstveno-nastavnog osoblja kroz interne i vanjske programe usavršavanja u opsegu koji odgovara stanju prije pandemije COVID 19. Očekuje se smanjenje troškova režija radi cjelovite obnove zgrade Fakulteta u razdoblju od  </w:t>
      </w:r>
      <w:r w:rsidR="0080295E">
        <w:rPr>
          <w:i/>
        </w:rPr>
        <w:t>travnja</w:t>
      </w:r>
      <w:r>
        <w:rPr>
          <w:i/>
        </w:rPr>
        <w:t xml:space="preserve"> 202</w:t>
      </w:r>
      <w:r w:rsidR="00791222">
        <w:rPr>
          <w:i/>
        </w:rPr>
        <w:t>2</w:t>
      </w:r>
      <w:r>
        <w:rPr>
          <w:i/>
        </w:rPr>
        <w:t xml:space="preserve">. godine do </w:t>
      </w:r>
      <w:r w:rsidR="0080295E">
        <w:rPr>
          <w:i/>
        </w:rPr>
        <w:t>travnja</w:t>
      </w:r>
      <w:r>
        <w:rPr>
          <w:i/>
        </w:rPr>
        <w:t xml:space="preserve"> 202</w:t>
      </w:r>
      <w:r w:rsidR="0080295E">
        <w:rPr>
          <w:i/>
        </w:rPr>
        <w:t>4</w:t>
      </w:r>
      <w:r>
        <w:rPr>
          <w:i/>
        </w:rPr>
        <w:t>. godine.</w:t>
      </w:r>
    </w:p>
    <w:p w14:paraId="57E2AB08" w14:textId="3EBC02A5" w:rsidR="000C3720" w:rsidRDefault="000C3720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Rashodi redovne djelatnosti</w:t>
      </w:r>
    </w:p>
    <w:p w14:paraId="5B56995C" w14:textId="6333376A" w:rsidR="007409F4" w:rsidRDefault="007409F4" w:rsidP="007409F4">
      <w:pPr>
        <w:jc w:val="both"/>
        <w:rPr>
          <w:i/>
        </w:rPr>
      </w:pPr>
      <w:r w:rsidRPr="007409F4">
        <w:rPr>
          <w:i/>
        </w:rPr>
        <w:t xml:space="preserve">Ova aktivnost provodi se svake godine, rashodi se odnose na </w:t>
      </w:r>
      <w:r>
        <w:rPr>
          <w:i/>
        </w:rPr>
        <w:t xml:space="preserve">troškove studentskih medija i praktične nastave na studiju novinarstva, financiranje troškova zaposlenih na vlastita sredstva, financiranje troškova aktivnosti na temelju internih pravilnika, troškove usavršavanja znanstveno-nastavnog osoblja, troškove nastave izvan nastavne norme na specijalističkim i doktorskim studijima. </w:t>
      </w:r>
    </w:p>
    <w:p w14:paraId="62C8D9DB" w14:textId="384FD564" w:rsidR="008537DB" w:rsidRDefault="008537DB" w:rsidP="008537DB">
      <w:pPr>
        <w:jc w:val="both"/>
        <w:rPr>
          <w:i/>
        </w:rPr>
      </w:pPr>
      <w:r w:rsidRPr="009D005B">
        <w:rPr>
          <w:i/>
        </w:rPr>
        <w:t>U razdoblju 202</w:t>
      </w:r>
      <w:r w:rsidR="00791222">
        <w:rPr>
          <w:i/>
        </w:rPr>
        <w:t>4</w:t>
      </w:r>
      <w:r w:rsidRPr="009D005B">
        <w:rPr>
          <w:i/>
        </w:rPr>
        <w:t>. – 202</w:t>
      </w:r>
      <w:r w:rsidR="0080295E">
        <w:rPr>
          <w:i/>
        </w:rPr>
        <w:t>5</w:t>
      </w:r>
      <w:r w:rsidRPr="009D005B">
        <w:rPr>
          <w:i/>
        </w:rPr>
        <w:t xml:space="preserve">. očekuje se ostvarenje sljedećeg: </w:t>
      </w:r>
      <w:r>
        <w:rPr>
          <w:i/>
        </w:rPr>
        <w:t xml:space="preserve">osiguranje redovite aktivnosti studentskih medija u opsegu koji će omogućiti njihovo nesmetano djelovanje u uvjetima cjelovite obnove zgrade i nemogućnosti korištenje prostora Fakulteta, pokrivanje troškova zaposlenih na vlastita sredstva, osiguranje aktivnosti usavršavanja zaposlenih u znanstveno nastavna, stručna i suradnička zvanja, te osiguranje održavanja nastave na poslijediplomskim specijalističkim i doktorskim studijima u opsegu predviđenim nastavnim planom, ovisno o broju upisanih studenata na ove studije. </w:t>
      </w:r>
    </w:p>
    <w:p w14:paraId="40DB8C60" w14:textId="260B3907" w:rsidR="000C3720" w:rsidRDefault="000C3720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Obnova infrastrukture i opreme u području visokog obrazovanja iz FSEU</w:t>
      </w:r>
    </w:p>
    <w:p w14:paraId="179797DD" w14:textId="278E3F3B" w:rsidR="009F6780" w:rsidRDefault="009F6780" w:rsidP="009F6780">
      <w:pPr>
        <w:jc w:val="both"/>
        <w:rPr>
          <w:i/>
        </w:rPr>
      </w:pPr>
      <w:r w:rsidRPr="009D005B">
        <w:rPr>
          <w:i/>
        </w:rPr>
        <w:t>Provedba ove aktivnosti započela je 2</w:t>
      </w:r>
      <w:r>
        <w:rPr>
          <w:i/>
        </w:rPr>
        <w:t>021.</w:t>
      </w:r>
      <w:r w:rsidRPr="009D005B">
        <w:rPr>
          <w:i/>
        </w:rPr>
        <w:t xml:space="preserve"> godine</w:t>
      </w:r>
      <w:r>
        <w:rPr>
          <w:i/>
        </w:rPr>
        <w:t xml:space="preserve"> i odvijat će se do 202</w:t>
      </w:r>
      <w:r w:rsidR="00E46AC3">
        <w:rPr>
          <w:i/>
        </w:rPr>
        <w:t>4</w:t>
      </w:r>
      <w:r>
        <w:rPr>
          <w:i/>
        </w:rPr>
        <w:t>. godine. Aktivnost</w:t>
      </w:r>
      <w:r w:rsidR="00E46AC3">
        <w:rPr>
          <w:i/>
        </w:rPr>
        <w:t xml:space="preserve">i dosad obavljene uključuju </w:t>
      </w:r>
      <w:r>
        <w:rPr>
          <w:i/>
        </w:rPr>
        <w:t>saniranje posljedica potresa</w:t>
      </w:r>
      <w:r w:rsidR="0080295E">
        <w:rPr>
          <w:i/>
        </w:rPr>
        <w:t xml:space="preserve"> te izradu projekta cjelovite obnove, </w:t>
      </w:r>
      <w:r w:rsidR="004C40D6">
        <w:rPr>
          <w:i/>
        </w:rPr>
        <w:t xml:space="preserve">preseljenje fakulteta na privremenu lokaciju, </w:t>
      </w:r>
      <w:r w:rsidR="0080295E">
        <w:rPr>
          <w:i/>
        </w:rPr>
        <w:t>provedbu javne nabave za izvođenje radova cjelovite obnove</w:t>
      </w:r>
      <w:r w:rsidR="004C40D6">
        <w:rPr>
          <w:i/>
        </w:rPr>
        <w:t xml:space="preserve"> i nadzor radova, te</w:t>
      </w:r>
      <w:r w:rsidR="0080295E">
        <w:rPr>
          <w:i/>
        </w:rPr>
        <w:t xml:space="preserve"> početak radova</w:t>
      </w:r>
      <w:r w:rsidR="004C40D6">
        <w:rPr>
          <w:i/>
        </w:rPr>
        <w:t xml:space="preserve"> cjelovite obnove.</w:t>
      </w:r>
      <w:r w:rsidR="00E46AC3">
        <w:rPr>
          <w:i/>
        </w:rPr>
        <w:t xml:space="preserve"> Uz </w:t>
      </w:r>
      <w:r w:rsidR="004C40D6">
        <w:rPr>
          <w:i/>
        </w:rPr>
        <w:t>cjelovitu obnovu zgrade Fakulteta, koja uključuje ojačanje konstrukcije i poboljšanja zgrade i ugradnju suvremenih instalacija i opreme</w:t>
      </w:r>
      <w:r w:rsidR="00E46AC3">
        <w:rPr>
          <w:i/>
        </w:rPr>
        <w:t>, cilj obnove je i povećanje prostora zgrade te postizanje uštede energije od najmanje 50%, ugradnju obnovljivih izvora energije (solarnih panela) te poboljšanje pristupa zgradi za osobe s poteškoćama u kretanju.</w:t>
      </w:r>
    </w:p>
    <w:p w14:paraId="68CAC09C" w14:textId="16CAEAF3" w:rsidR="008537DB" w:rsidRPr="009F6780" w:rsidRDefault="008537DB" w:rsidP="009F6780">
      <w:pPr>
        <w:jc w:val="both"/>
        <w:rPr>
          <w:i/>
        </w:rPr>
      </w:pPr>
      <w:r w:rsidRPr="009D005B">
        <w:rPr>
          <w:i/>
        </w:rPr>
        <w:lastRenderedPageBreak/>
        <w:t>U razdoblju 202</w:t>
      </w:r>
      <w:r>
        <w:rPr>
          <w:i/>
        </w:rPr>
        <w:t>2</w:t>
      </w:r>
      <w:r w:rsidRPr="009D005B">
        <w:rPr>
          <w:i/>
        </w:rPr>
        <w:t>. – 202</w:t>
      </w:r>
      <w:r>
        <w:rPr>
          <w:i/>
        </w:rPr>
        <w:t>4</w:t>
      </w:r>
      <w:r w:rsidRPr="009D005B">
        <w:rPr>
          <w:i/>
        </w:rPr>
        <w:t>. očekuje se ostvarenje sljedećeg:</w:t>
      </w:r>
      <w:r>
        <w:rPr>
          <w:i/>
        </w:rPr>
        <w:t xml:space="preserve"> cjelovita obnova zgrade koja će osigurati funkcionalnost zgrade na razini prije potresa ili višoj te osiguranje uvjeta za nesmetano izvođenje nastave.</w:t>
      </w:r>
    </w:p>
    <w:p w14:paraId="05C6650A" w14:textId="133A4012" w:rsidR="009F6780" w:rsidRDefault="000C3720" w:rsidP="009F6780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Obnova infrastrukture i opreme u području visokog obrazovanja iz Mehanizma za oporavak i otpornost</w:t>
      </w:r>
    </w:p>
    <w:p w14:paraId="48DDA35E" w14:textId="55FE5660" w:rsidR="008537DB" w:rsidRPr="008537DB" w:rsidRDefault="008537DB" w:rsidP="008537DB">
      <w:pPr>
        <w:jc w:val="both"/>
        <w:rPr>
          <w:i/>
        </w:rPr>
      </w:pPr>
      <w:r w:rsidRPr="008537DB">
        <w:rPr>
          <w:i/>
        </w:rPr>
        <w:t>Provedba ove aktivnosti započela je 2021. godine i odvijat će se do 202</w:t>
      </w:r>
      <w:r w:rsidR="00E46AC3">
        <w:rPr>
          <w:i/>
        </w:rPr>
        <w:t>4</w:t>
      </w:r>
      <w:r w:rsidRPr="008537DB">
        <w:rPr>
          <w:i/>
        </w:rPr>
        <w:t>. godine. Aktivnost uključuje cjelovitu obnovu zgrade Fakulteta</w:t>
      </w:r>
      <w:r>
        <w:rPr>
          <w:i/>
        </w:rPr>
        <w:t xml:space="preserve"> s konstrukcijskim ojačanjem zgrade i povećanjem energetske učinkovitosti.</w:t>
      </w:r>
      <w:r w:rsidR="006A1547">
        <w:rPr>
          <w:i/>
        </w:rPr>
        <w:t xml:space="preserve"> Uz cjelovitu obnovu zgrade Fakulteta, koja uključuje ojačanje konstrukcije i poboljšanja zgrade i ugradnju suvremenih instalacija i opreme, cilj obnove je i povećanje prostora zgrade te postizanje uštede energije od najmanje 50%, ugradnju obnovljivih izvora energije (solarnih panela) te poboljšanje pristupa zgradi za osobe s poteškoćama u kretanju.</w:t>
      </w:r>
    </w:p>
    <w:p w14:paraId="78E058C0" w14:textId="521151CA" w:rsidR="008537DB" w:rsidRPr="008537DB" w:rsidRDefault="008537DB" w:rsidP="008537DB">
      <w:pPr>
        <w:jc w:val="both"/>
        <w:rPr>
          <w:i/>
        </w:rPr>
      </w:pPr>
      <w:r w:rsidRPr="008537DB">
        <w:rPr>
          <w:i/>
        </w:rPr>
        <w:t xml:space="preserve">U razdoblju 2022. – 2024. očekuje se ostvarenje sljedećeg: </w:t>
      </w:r>
      <w:r w:rsidR="006C6CFC">
        <w:rPr>
          <w:i/>
        </w:rPr>
        <w:t xml:space="preserve">završetak </w:t>
      </w:r>
      <w:r w:rsidRPr="008537DB">
        <w:rPr>
          <w:i/>
        </w:rPr>
        <w:t>cjelovit</w:t>
      </w:r>
      <w:r w:rsidR="006C6CFC">
        <w:rPr>
          <w:i/>
        </w:rPr>
        <w:t>e</w:t>
      </w:r>
      <w:r w:rsidRPr="008537DB">
        <w:rPr>
          <w:i/>
        </w:rPr>
        <w:t xml:space="preserve"> obnov</w:t>
      </w:r>
      <w:r w:rsidR="006C6CFC">
        <w:rPr>
          <w:i/>
        </w:rPr>
        <w:t xml:space="preserve">e </w:t>
      </w:r>
      <w:r w:rsidRPr="008537DB">
        <w:rPr>
          <w:i/>
        </w:rPr>
        <w:t xml:space="preserve">zgrade </w:t>
      </w:r>
      <w:r w:rsidR="006C6CFC">
        <w:rPr>
          <w:i/>
        </w:rPr>
        <w:t xml:space="preserve">s konstrukcijskim ojačanjem i povećanjem potresne otpornosti te povećanjem energetske učinkovitosti. </w:t>
      </w:r>
    </w:p>
    <w:p w14:paraId="3A3BD2C1" w14:textId="77777777" w:rsidR="00F815A6" w:rsidRPr="009D005B" w:rsidRDefault="00F815A6" w:rsidP="00F815A6">
      <w:pPr>
        <w:spacing w:after="0"/>
        <w:jc w:val="both"/>
        <w:rPr>
          <w:i/>
        </w:rPr>
      </w:pPr>
      <w:r w:rsidRPr="009D005B">
        <w:rPr>
          <w:i/>
        </w:rPr>
        <w:t>Izračun financijskog plana:</w:t>
      </w:r>
    </w:p>
    <w:p w14:paraId="241100BE" w14:textId="77777777" w:rsidR="00F815A6" w:rsidRPr="009D005B" w:rsidRDefault="00F815A6" w:rsidP="00F815A6">
      <w:pPr>
        <w:pStyle w:val="ListParagraph"/>
        <w:numPr>
          <w:ilvl w:val="0"/>
          <w:numId w:val="3"/>
        </w:numPr>
        <w:spacing w:after="0"/>
        <w:jc w:val="both"/>
        <w:rPr>
          <w:i/>
        </w:rPr>
      </w:pPr>
      <w:r>
        <w:rPr>
          <w:i/>
        </w:rPr>
        <w:t xml:space="preserve">Element/ </w:t>
      </w:r>
      <w:proofErr w:type="spellStart"/>
      <w:r>
        <w:rPr>
          <w:i/>
        </w:rPr>
        <w:t>podaktivnost</w:t>
      </w:r>
      <w:proofErr w:type="spellEnd"/>
      <w:r>
        <w:rPr>
          <w:i/>
        </w:rPr>
        <w:t xml:space="preserve"> 1</w:t>
      </w:r>
      <w:r w:rsidRPr="009D005B">
        <w:rPr>
          <w:i/>
        </w:rPr>
        <w:t>:</w:t>
      </w:r>
    </w:p>
    <w:p w14:paraId="3B564F91" w14:textId="48D5337D" w:rsidR="003B2CF0" w:rsidRPr="006C6CFC" w:rsidRDefault="00030327" w:rsidP="006C6CFC">
      <w:pPr>
        <w:pStyle w:val="ListParagraph"/>
        <w:spacing w:after="0"/>
        <w:jc w:val="both"/>
        <w:rPr>
          <w:i/>
        </w:rPr>
      </w:pPr>
      <w:r>
        <w:rPr>
          <w:i/>
        </w:rPr>
        <w:t>U 202</w:t>
      </w:r>
      <w:r w:rsidR="00452317">
        <w:rPr>
          <w:i/>
        </w:rPr>
        <w:t>4</w:t>
      </w:r>
      <w:r w:rsidR="00F815A6">
        <w:rPr>
          <w:i/>
        </w:rPr>
        <w:t xml:space="preserve">. planirana su sredstva u iznosu od </w:t>
      </w:r>
      <w:r w:rsidR="00D85116" w:rsidRPr="00D85116">
        <w:rPr>
          <w:rFonts w:ascii="Calibri" w:hAnsi="Calibri" w:cs="Calibri"/>
          <w:color w:val="000000"/>
        </w:rPr>
        <w:t>3</w:t>
      </w:r>
      <w:r w:rsidR="00D85116">
        <w:rPr>
          <w:rFonts w:ascii="Calibri" w:hAnsi="Calibri" w:cs="Calibri"/>
          <w:color w:val="000000"/>
        </w:rPr>
        <w:t>,</w:t>
      </w:r>
      <w:r w:rsidR="003B12B8">
        <w:rPr>
          <w:rFonts w:ascii="Calibri" w:hAnsi="Calibri" w:cs="Calibri"/>
          <w:color w:val="000000"/>
        </w:rPr>
        <w:t>628</w:t>
      </w:r>
      <w:r w:rsidR="00D85116">
        <w:rPr>
          <w:rFonts w:ascii="Calibri" w:hAnsi="Calibri" w:cs="Calibri"/>
          <w:color w:val="000000"/>
        </w:rPr>
        <w:t>,</w:t>
      </w:r>
      <w:r w:rsidR="003B12B8">
        <w:rPr>
          <w:rFonts w:ascii="Calibri" w:hAnsi="Calibri" w:cs="Calibri"/>
          <w:color w:val="000000"/>
        </w:rPr>
        <w:t>949</w:t>
      </w:r>
      <w:r w:rsidR="004D6304">
        <w:rPr>
          <w:rFonts w:ascii="Calibri" w:hAnsi="Calibri" w:cs="Calibri"/>
          <w:color w:val="000000"/>
        </w:rPr>
        <w:t>.00 EUR</w:t>
      </w:r>
      <w:r w:rsidR="00F815A6" w:rsidRPr="006C6CFC">
        <w:rPr>
          <w:i/>
        </w:rPr>
        <w:t xml:space="preserve"> za plaće </w:t>
      </w:r>
      <w:r w:rsidR="008E0EFD">
        <w:rPr>
          <w:i/>
        </w:rPr>
        <w:t xml:space="preserve">i materijalna prava </w:t>
      </w:r>
      <w:r w:rsidR="00F815A6" w:rsidRPr="006C6CFC">
        <w:rPr>
          <w:i/>
        </w:rPr>
        <w:t xml:space="preserve">zaposlenika. Sredstva </w:t>
      </w:r>
      <w:r w:rsidR="008E0EFD">
        <w:rPr>
          <w:i/>
        </w:rPr>
        <w:t xml:space="preserve">za plaće i materijalna prava zaposlenika </w:t>
      </w:r>
      <w:r w:rsidRPr="006C6CFC">
        <w:rPr>
          <w:i/>
        </w:rPr>
        <w:t>planirana za 202</w:t>
      </w:r>
      <w:r w:rsidR="00452317">
        <w:rPr>
          <w:i/>
        </w:rPr>
        <w:t>5</w:t>
      </w:r>
      <w:r w:rsidRPr="006C6CFC">
        <w:rPr>
          <w:i/>
        </w:rPr>
        <w:t>.</w:t>
      </w:r>
      <w:r w:rsidR="003B12B8">
        <w:rPr>
          <w:i/>
        </w:rPr>
        <w:t xml:space="preserve"> godinu iznose 3,640,023,00</w:t>
      </w:r>
      <w:r w:rsidRPr="006C6CFC">
        <w:rPr>
          <w:i/>
        </w:rPr>
        <w:t xml:space="preserve"> i 202</w:t>
      </w:r>
      <w:r w:rsidR="00452317">
        <w:rPr>
          <w:i/>
        </w:rPr>
        <w:t>6</w:t>
      </w:r>
      <w:r w:rsidR="00F815A6" w:rsidRPr="006C6CFC">
        <w:rPr>
          <w:i/>
        </w:rPr>
        <w:t>. godinu</w:t>
      </w:r>
      <w:r w:rsidR="006C6CFC">
        <w:rPr>
          <w:i/>
        </w:rPr>
        <w:t xml:space="preserve"> iznose </w:t>
      </w:r>
      <w:r w:rsidR="00D85116" w:rsidRPr="00D85116">
        <w:rPr>
          <w:rFonts w:ascii="Calibri" w:hAnsi="Calibri" w:cs="Calibri"/>
          <w:color w:val="000000"/>
        </w:rPr>
        <w:t>3</w:t>
      </w:r>
      <w:r w:rsidR="00D85116">
        <w:rPr>
          <w:rFonts w:ascii="Calibri" w:hAnsi="Calibri" w:cs="Calibri"/>
          <w:color w:val="000000"/>
        </w:rPr>
        <w:t>,</w:t>
      </w:r>
      <w:r w:rsidR="003B12B8">
        <w:rPr>
          <w:rFonts w:ascii="Calibri" w:hAnsi="Calibri" w:cs="Calibri"/>
          <w:color w:val="000000"/>
        </w:rPr>
        <w:t>642</w:t>
      </w:r>
      <w:r w:rsidR="00D85116">
        <w:rPr>
          <w:rFonts w:ascii="Calibri" w:hAnsi="Calibri" w:cs="Calibri"/>
          <w:color w:val="000000"/>
        </w:rPr>
        <w:t>,</w:t>
      </w:r>
      <w:r w:rsidR="00D85116" w:rsidRPr="00D85116">
        <w:rPr>
          <w:rFonts w:ascii="Calibri" w:hAnsi="Calibri" w:cs="Calibri"/>
          <w:color w:val="000000"/>
        </w:rPr>
        <w:t>0</w:t>
      </w:r>
      <w:r w:rsidR="003B12B8">
        <w:rPr>
          <w:rFonts w:ascii="Calibri" w:hAnsi="Calibri" w:cs="Calibri"/>
          <w:color w:val="000000"/>
        </w:rPr>
        <w:t>11</w:t>
      </w:r>
      <w:r w:rsidR="004D6304">
        <w:rPr>
          <w:rFonts w:ascii="Calibri" w:hAnsi="Calibri" w:cs="Calibri"/>
          <w:color w:val="000000"/>
        </w:rPr>
        <w:t>.00 EUR</w:t>
      </w:r>
      <w:r w:rsidR="00F815A6" w:rsidRPr="006C6CFC">
        <w:rPr>
          <w:i/>
        </w:rPr>
        <w:t xml:space="preserve">. </w:t>
      </w:r>
    </w:p>
    <w:p w14:paraId="0E411AB5" w14:textId="4ECF1C7D" w:rsidR="008D0881" w:rsidRDefault="0083023C" w:rsidP="009D275E">
      <w:pPr>
        <w:pStyle w:val="ListParagraph"/>
        <w:numPr>
          <w:ilvl w:val="0"/>
          <w:numId w:val="3"/>
        </w:numPr>
        <w:spacing w:after="0"/>
        <w:jc w:val="both"/>
        <w:rPr>
          <w:i/>
        </w:rPr>
      </w:pPr>
      <w:r w:rsidRPr="008D0881">
        <w:rPr>
          <w:i/>
        </w:rPr>
        <w:t xml:space="preserve">Element/ </w:t>
      </w:r>
      <w:proofErr w:type="spellStart"/>
      <w:r w:rsidRPr="008D0881">
        <w:rPr>
          <w:i/>
        </w:rPr>
        <w:t>podaktivnost</w:t>
      </w:r>
      <w:proofErr w:type="spellEnd"/>
      <w:r w:rsidRPr="008D0881">
        <w:rPr>
          <w:i/>
        </w:rPr>
        <w:t xml:space="preserve"> 2: U 202</w:t>
      </w:r>
      <w:r w:rsidR="00452317">
        <w:rPr>
          <w:i/>
        </w:rPr>
        <w:t>4</w:t>
      </w:r>
      <w:r w:rsidRPr="008D0881">
        <w:rPr>
          <w:i/>
        </w:rPr>
        <w:t xml:space="preserve">. godini planirana su sredstva u iznosu od </w:t>
      </w:r>
      <w:r w:rsidR="00D85116" w:rsidRPr="00D85116">
        <w:rPr>
          <w:rFonts w:ascii="Calibri" w:hAnsi="Calibri" w:cs="Calibri"/>
          <w:color w:val="000000"/>
        </w:rPr>
        <w:t>43</w:t>
      </w:r>
      <w:r w:rsidR="003B12B8">
        <w:rPr>
          <w:rFonts w:ascii="Calibri" w:hAnsi="Calibri" w:cs="Calibri"/>
          <w:color w:val="000000"/>
        </w:rPr>
        <w:t>9</w:t>
      </w:r>
      <w:r w:rsidR="00D85116">
        <w:rPr>
          <w:rFonts w:ascii="Calibri" w:hAnsi="Calibri" w:cs="Calibri"/>
          <w:color w:val="000000"/>
        </w:rPr>
        <w:t>,</w:t>
      </w:r>
      <w:r w:rsidR="003B12B8">
        <w:rPr>
          <w:rFonts w:ascii="Calibri" w:hAnsi="Calibri" w:cs="Calibri"/>
          <w:color w:val="000000"/>
        </w:rPr>
        <w:t>014</w:t>
      </w:r>
      <w:r w:rsidR="004D6304" w:rsidRPr="008D0881">
        <w:rPr>
          <w:rFonts w:ascii="Calibri" w:hAnsi="Calibri" w:cs="Calibri"/>
          <w:color w:val="000000"/>
        </w:rPr>
        <w:t>.00 EUR</w:t>
      </w:r>
      <w:r w:rsidR="00D85116">
        <w:rPr>
          <w:rFonts w:ascii="Calibri" w:hAnsi="Calibri" w:cs="Calibri"/>
          <w:color w:val="000000"/>
        </w:rPr>
        <w:t xml:space="preserve"> u ovu svrhu</w:t>
      </w:r>
      <w:r w:rsidRPr="008D0881">
        <w:rPr>
          <w:i/>
        </w:rPr>
        <w:t xml:space="preserve">. </w:t>
      </w:r>
      <w:r w:rsidR="008D0881" w:rsidRPr="008D0881">
        <w:rPr>
          <w:i/>
        </w:rPr>
        <w:t>U 202</w:t>
      </w:r>
      <w:r w:rsidR="00452317">
        <w:rPr>
          <w:i/>
        </w:rPr>
        <w:t>5</w:t>
      </w:r>
      <w:r w:rsidR="008D0881" w:rsidRPr="008D0881">
        <w:rPr>
          <w:i/>
        </w:rPr>
        <w:t xml:space="preserve">. godini </w:t>
      </w:r>
      <w:r w:rsidR="00D85116">
        <w:rPr>
          <w:i/>
        </w:rPr>
        <w:t>i 202</w:t>
      </w:r>
      <w:r w:rsidR="00452317">
        <w:rPr>
          <w:i/>
        </w:rPr>
        <w:t>6</w:t>
      </w:r>
      <w:r w:rsidR="00D85116">
        <w:rPr>
          <w:i/>
        </w:rPr>
        <w:t xml:space="preserve">. godini </w:t>
      </w:r>
      <w:r w:rsidR="008D0881" w:rsidRPr="008D0881">
        <w:rPr>
          <w:i/>
        </w:rPr>
        <w:t xml:space="preserve">planirana su sredstva u </w:t>
      </w:r>
      <w:r w:rsidR="00D85116">
        <w:rPr>
          <w:i/>
        </w:rPr>
        <w:t xml:space="preserve">istom </w:t>
      </w:r>
      <w:r w:rsidR="008D0881" w:rsidRPr="008D0881">
        <w:rPr>
          <w:i/>
        </w:rPr>
        <w:t xml:space="preserve">iznosu </w:t>
      </w:r>
      <w:r w:rsidR="00D85116">
        <w:rPr>
          <w:i/>
        </w:rPr>
        <w:t>kao za 202</w:t>
      </w:r>
      <w:r w:rsidR="00452317">
        <w:rPr>
          <w:i/>
        </w:rPr>
        <w:t>4</w:t>
      </w:r>
      <w:r w:rsidR="00D85116">
        <w:rPr>
          <w:i/>
        </w:rPr>
        <w:t>. godinu.</w:t>
      </w:r>
    </w:p>
    <w:p w14:paraId="1D0135E1" w14:textId="7F3AD307" w:rsidR="0083023C" w:rsidRPr="008D0881" w:rsidRDefault="0083023C" w:rsidP="009D275E">
      <w:pPr>
        <w:pStyle w:val="ListParagraph"/>
        <w:numPr>
          <w:ilvl w:val="0"/>
          <w:numId w:val="3"/>
        </w:numPr>
        <w:spacing w:after="0"/>
        <w:jc w:val="both"/>
        <w:rPr>
          <w:i/>
        </w:rPr>
      </w:pPr>
      <w:r w:rsidRPr="008D0881">
        <w:rPr>
          <w:i/>
        </w:rPr>
        <w:t xml:space="preserve">Element/ </w:t>
      </w:r>
      <w:proofErr w:type="spellStart"/>
      <w:r w:rsidRPr="008D0881">
        <w:rPr>
          <w:i/>
        </w:rPr>
        <w:t>podaktivnost</w:t>
      </w:r>
      <w:proofErr w:type="spellEnd"/>
      <w:r w:rsidRPr="008D0881">
        <w:rPr>
          <w:i/>
        </w:rPr>
        <w:t xml:space="preserve"> </w:t>
      </w:r>
      <w:r w:rsidR="003D6A33" w:rsidRPr="008D0881">
        <w:rPr>
          <w:i/>
        </w:rPr>
        <w:t>3</w:t>
      </w:r>
      <w:r w:rsidRPr="008D0881">
        <w:rPr>
          <w:i/>
        </w:rPr>
        <w:t>: U 202</w:t>
      </w:r>
      <w:r w:rsidR="00452317">
        <w:rPr>
          <w:i/>
        </w:rPr>
        <w:t>4</w:t>
      </w:r>
      <w:r w:rsidRPr="008D0881">
        <w:rPr>
          <w:i/>
        </w:rPr>
        <w:t xml:space="preserve">. godini planirana su sredstva u iznosu od </w:t>
      </w:r>
      <w:r w:rsidR="00D46843">
        <w:rPr>
          <w:rFonts w:ascii="Calibri" w:eastAsia="Times New Roman" w:hAnsi="Calibri" w:cs="Calibri"/>
          <w:color w:val="000000"/>
          <w:lang w:val="en-GB" w:eastAsia="en-GB"/>
        </w:rPr>
        <w:t>124,185.00 EUR</w:t>
      </w:r>
      <w:r w:rsidRPr="008D0881">
        <w:rPr>
          <w:i/>
        </w:rPr>
        <w:t xml:space="preserve"> za plaće i materijalna prava zaposlenika. Sredstva za plaće i materijalna prava zaposlenika planirana za </w:t>
      </w:r>
      <w:r w:rsidR="00A42ED6" w:rsidRPr="008D0881">
        <w:rPr>
          <w:i/>
        </w:rPr>
        <w:t>202</w:t>
      </w:r>
      <w:r w:rsidR="00452317">
        <w:rPr>
          <w:i/>
        </w:rPr>
        <w:t>5</w:t>
      </w:r>
      <w:r w:rsidR="00A42ED6" w:rsidRPr="008D0881">
        <w:rPr>
          <w:i/>
        </w:rPr>
        <w:t>.</w:t>
      </w:r>
      <w:r w:rsidRPr="008D0881">
        <w:rPr>
          <w:i/>
        </w:rPr>
        <w:t xml:space="preserve"> godinu </w:t>
      </w:r>
      <w:r w:rsidR="00A42ED6" w:rsidRPr="008D0881">
        <w:rPr>
          <w:i/>
        </w:rPr>
        <w:t>planirana su u iznosu od</w:t>
      </w:r>
      <w:r w:rsidRPr="008D0881">
        <w:rPr>
          <w:i/>
        </w:rPr>
        <w:t xml:space="preserve"> </w:t>
      </w:r>
      <w:r w:rsidR="004C6E51">
        <w:rPr>
          <w:rFonts w:ascii="Calibri" w:eastAsia="Times New Roman" w:hAnsi="Calibri" w:cs="Calibri"/>
          <w:color w:val="000000"/>
          <w:lang w:val="en-GB" w:eastAsia="en-GB"/>
        </w:rPr>
        <w:t>124,185.00 EUR</w:t>
      </w:r>
      <w:r w:rsidR="004C6E51" w:rsidRPr="008D0881">
        <w:rPr>
          <w:i/>
        </w:rPr>
        <w:t xml:space="preserve"> </w:t>
      </w:r>
      <w:r w:rsidR="00A42ED6" w:rsidRPr="008D0881">
        <w:rPr>
          <w:i/>
        </w:rPr>
        <w:t>a za 202</w:t>
      </w:r>
      <w:r w:rsidR="00452317">
        <w:rPr>
          <w:i/>
        </w:rPr>
        <w:t>6</w:t>
      </w:r>
      <w:r w:rsidR="00A42ED6" w:rsidRPr="008D0881">
        <w:rPr>
          <w:i/>
        </w:rPr>
        <w:t>. godinu u iznosu od</w:t>
      </w:r>
      <w:r w:rsidR="003D6A33" w:rsidRPr="008D0881">
        <w:rPr>
          <w:i/>
        </w:rPr>
        <w:t xml:space="preserve"> </w:t>
      </w:r>
      <w:r w:rsidR="004C6E51">
        <w:rPr>
          <w:rFonts w:ascii="Calibri" w:eastAsia="Times New Roman" w:hAnsi="Calibri" w:cs="Calibri"/>
          <w:color w:val="000000"/>
          <w:lang w:val="en-GB" w:eastAsia="en-GB"/>
        </w:rPr>
        <w:t>124,185.00 EUR</w:t>
      </w:r>
      <w:r w:rsidRPr="008D0881">
        <w:rPr>
          <w:i/>
        </w:rPr>
        <w:t>. Materijalni troškovi u 202</w:t>
      </w:r>
      <w:r w:rsidR="00452317">
        <w:rPr>
          <w:i/>
        </w:rPr>
        <w:t>4</w:t>
      </w:r>
      <w:r w:rsidRPr="008D0881">
        <w:rPr>
          <w:i/>
        </w:rPr>
        <w:t>.</w:t>
      </w:r>
      <w:r w:rsidR="003D6A33" w:rsidRPr="008D0881">
        <w:rPr>
          <w:i/>
        </w:rPr>
        <w:t xml:space="preserve"> godini planirani su u iznosu od </w:t>
      </w:r>
      <w:r w:rsidR="004C6E51">
        <w:rPr>
          <w:rFonts w:ascii="Calibri" w:eastAsia="Times New Roman" w:hAnsi="Calibri" w:cs="Calibri"/>
          <w:color w:val="000000"/>
          <w:lang w:val="en-GB" w:eastAsia="en-GB"/>
        </w:rPr>
        <w:t>57,079.00 EUR</w:t>
      </w:r>
      <w:r w:rsidR="003D6A33" w:rsidRPr="008D0881">
        <w:rPr>
          <w:i/>
        </w:rPr>
        <w:t xml:space="preserve">, u </w:t>
      </w:r>
      <w:r w:rsidRPr="008D0881">
        <w:rPr>
          <w:i/>
        </w:rPr>
        <w:t>202</w:t>
      </w:r>
      <w:r w:rsidR="00452317">
        <w:rPr>
          <w:i/>
        </w:rPr>
        <w:t>5</w:t>
      </w:r>
      <w:r w:rsidRPr="008D0881">
        <w:rPr>
          <w:i/>
        </w:rPr>
        <w:t xml:space="preserve">. godini </w:t>
      </w:r>
      <w:r w:rsidR="004C6E51">
        <w:rPr>
          <w:rFonts w:ascii="Calibri" w:eastAsia="Times New Roman" w:hAnsi="Calibri" w:cs="Calibri"/>
          <w:color w:val="000000"/>
          <w:lang w:val="en-GB" w:eastAsia="en-GB"/>
        </w:rPr>
        <w:t>30,089.00 EUR</w:t>
      </w:r>
      <w:r w:rsidR="004C6E51" w:rsidRPr="008D0881">
        <w:rPr>
          <w:i/>
        </w:rPr>
        <w:t xml:space="preserve"> </w:t>
      </w:r>
      <w:r w:rsidR="003D6A33" w:rsidRPr="008D0881">
        <w:rPr>
          <w:i/>
        </w:rPr>
        <w:t>a u 202</w:t>
      </w:r>
      <w:r w:rsidR="00452317">
        <w:rPr>
          <w:i/>
        </w:rPr>
        <w:t>6</w:t>
      </w:r>
      <w:r w:rsidR="003D6A33" w:rsidRPr="008D0881">
        <w:rPr>
          <w:i/>
        </w:rPr>
        <w:t xml:space="preserve">. godini u iznosu </w:t>
      </w:r>
      <w:r w:rsidR="004C6E51" w:rsidRPr="008D0881">
        <w:rPr>
          <w:i/>
        </w:rPr>
        <w:t xml:space="preserve">od </w:t>
      </w:r>
      <w:r w:rsidR="004C6E51">
        <w:rPr>
          <w:rFonts w:ascii="Calibri" w:eastAsia="Times New Roman" w:hAnsi="Calibri" w:cs="Calibri"/>
          <w:color w:val="000000"/>
          <w:lang w:val="en-GB" w:eastAsia="en-GB"/>
        </w:rPr>
        <w:t>57,079.00 EUR</w:t>
      </w:r>
      <w:r w:rsidRPr="008D0881">
        <w:rPr>
          <w:i/>
        </w:rPr>
        <w:t>.</w:t>
      </w:r>
    </w:p>
    <w:p w14:paraId="63A5FE1B" w14:textId="3D04E7D0" w:rsidR="003D6A33" w:rsidRPr="00C833D5" w:rsidRDefault="003D6A33" w:rsidP="00DC2945">
      <w:pPr>
        <w:pStyle w:val="ListParagraph"/>
        <w:numPr>
          <w:ilvl w:val="0"/>
          <w:numId w:val="3"/>
        </w:numPr>
        <w:spacing w:after="0"/>
        <w:jc w:val="both"/>
        <w:rPr>
          <w:i/>
        </w:rPr>
      </w:pPr>
      <w:r w:rsidRPr="00C833D5">
        <w:rPr>
          <w:i/>
        </w:rPr>
        <w:t xml:space="preserve">Element/ </w:t>
      </w:r>
      <w:proofErr w:type="spellStart"/>
      <w:r w:rsidRPr="00C833D5">
        <w:rPr>
          <w:i/>
        </w:rPr>
        <w:t>podaktivnost</w:t>
      </w:r>
      <w:proofErr w:type="spellEnd"/>
      <w:r w:rsidRPr="00C833D5">
        <w:rPr>
          <w:i/>
        </w:rPr>
        <w:t xml:space="preserve"> 4 i 5: </w:t>
      </w:r>
      <w:r w:rsidR="00F815A6" w:rsidRPr="00C833D5">
        <w:rPr>
          <w:i/>
        </w:rPr>
        <w:t xml:space="preserve">Ugovor o </w:t>
      </w:r>
      <w:r w:rsidR="004C40D6" w:rsidRPr="00C833D5">
        <w:rPr>
          <w:i/>
        </w:rPr>
        <w:t>izvođenju radova cjelovite obnove</w:t>
      </w:r>
      <w:r w:rsidR="00F815A6" w:rsidRPr="00C833D5">
        <w:rPr>
          <w:i/>
        </w:rPr>
        <w:t xml:space="preserve"> zgrade </w:t>
      </w:r>
      <w:r w:rsidR="004C40D6" w:rsidRPr="00C833D5">
        <w:rPr>
          <w:i/>
        </w:rPr>
        <w:t>sklopljen je</w:t>
      </w:r>
      <w:r w:rsidR="00F815A6" w:rsidRPr="00C833D5">
        <w:rPr>
          <w:i/>
        </w:rPr>
        <w:t xml:space="preserve"> 202</w:t>
      </w:r>
      <w:r w:rsidR="00030327" w:rsidRPr="00C833D5">
        <w:rPr>
          <w:i/>
        </w:rPr>
        <w:t>2</w:t>
      </w:r>
      <w:r w:rsidR="00F815A6" w:rsidRPr="00C833D5">
        <w:rPr>
          <w:i/>
        </w:rPr>
        <w:t xml:space="preserve">. godine na iznos od </w:t>
      </w:r>
      <w:r w:rsidR="004C40D6" w:rsidRPr="00C833D5">
        <w:rPr>
          <w:rFonts w:ascii="Arial" w:hAnsi="Arial" w:cs="Arial"/>
          <w:sz w:val="20"/>
          <w:szCs w:val="20"/>
        </w:rPr>
        <w:t>93.605.842,73</w:t>
      </w:r>
      <w:r w:rsidR="006C6CFC" w:rsidRPr="00C833D5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F815A6" w:rsidRPr="00C833D5">
        <w:rPr>
          <w:i/>
        </w:rPr>
        <w:t>HRK</w:t>
      </w:r>
      <w:r w:rsidR="006C6CFC" w:rsidRPr="00C833D5">
        <w:rPr>
          <w:i/>
        </w:rPr>
        <w:t xml:space="preserve">. </w:t>
      </w:r>
      <w:r w:rsidR="004C6E51" w:rsidRPr="00C833D5">
        <w:rPr>
          <w:i/>
        </w:rPr>
        <w:t xml:space="preserve">U 2023. sredstva za obnovu iz FSEU planirana su u iznosu od </w:t>
      </w:r>
      <w:r w:rsidR="004F06D2" w:rsidRPr="00C833D5">
        <w:rPr>
          <w:i/>
        </w:rPr>
        <w:t>3,651,762</w:t>
      </w:r>
      <w:r w:rsidR="0022572E" w:rsidRPr="00C833D5">
        <w:rPr>
          <w:i/>
        </w:rPr>
        <w:t xml:space="preserve">.00 EUR, dok su iz NPO planirana sredstva u iznosu od </w:t>
      </w:r>
      <w:r w:rsidR="00C833D5" w:rsidRPr="00C833D5">
        <w:rPr>
          <w:i/>
        </w:rPr>
        <w:t>2,101,031</w:t>
      </w:r>
      <w:r w:rsidR="0022572E" w:rsidRPr="00C833D5">
        <w:rPr>
          <w:i/>
        </w:rPr>
        <w:t>. 00 EUR. U 2024</w:t>
      </w:r>
      <w:r w:rsidR="00877A33" w:rsidRPr="00C833D5">
        <w:rPr>
          <w:i/>
        </w:rPr>
        <w:t>. 2025. i 2026. godini</w:t>
      </w:r>
      <w:r w:rsidR="00C833D5">
        <w:rPr>
          <w:i/>
        </w:rPr>
        <w:t>.</w:t>
      </w:r>
      <w:bookmarkStart w:id="0" w:name="_GoBack"/>
      <w:bookmarkEnd w:id="0"/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F815A6" w:rsidRPr="009D005B" w14:paraId="0911E798" w14:textId="77777777" w:rsidTr="000C3720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2BA2BBC3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1D09E19D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1F20F93D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4F064B49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3F831D37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24049DD3" w14:textId="4661285B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452317">
              <w:rPr>
                <w:sz w:val="20"/>
              </w:rPr>
              <w:t>4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60276F22" w14:textId="376598F6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452317">
              <w:rPr>
                <w:sz w:val="20"/>
              </w:rPr>
              <w:t>5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63DF5021" w14:textId="42175AC9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452317">
              <w:rPr>
                <w:sz w:val="20"/>
              </w:rPr>
              <w:t>6</w:t>
            </w:r>
            <w:r w:rsidRPr="009D005B">
              <w:rPr>
                <w:sz w:val="20"/>
              </w:rPr>
              <w:t>.</w:t>
            </w:r>
          </w:p>
        </w:tc>
      </w:tr>
      <w:tr w:rsidR="00F815A6" w:rsidRPr="009D005B" w14:paraId="57E3AE38" w14:textId="77777777" w:rsidTr="000C3720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01306E9" w14:textId="77777777" w:rsidR="00F815A6" w:rsidRPr="009D005B" w:rsidRDefault="00F815A6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Postotak izvršenih radova</w:t>
            </w:r>
            <w:r w:rsidRPr="009D005B">
              <w:rPr>
                <w:i/>
                <w:sz w:val="20"/>
              </w:rPr>
              <w:t xml:space="preserve"> renovacij</w:t>
            </w:r>
            <w:r>
              <w:rPr>
                <w:i/>
                <w:sz w:val="20"/>
              </w:rPr>
              <w:t>e</w:t>
            </w:r>
            <w:r w:rsidRPr="009D005B">
              <w:rPr>
                <w:i/>
                <w:sz w:val="20"/>
              </w:rPr>
              <w:t xml:space="preserve"> zgrade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FCE0BB" w14:textId="77777777" w:rsidR="00F815A6" w:rsidRPr="009D005B" w:rsidRDefault="00F815A6" w:rsidP="00B77EF7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Sredstva za renovaciju zgrade isplaćuju se po izvršenim radovima sukladno dinamici utvrđenoj u ugovoru o nabavi radova.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4446265F" w14:textId="77777777" w:rsidR="00F815A6" w:rsidRPr="009D005B" w:rsidRDefault="00F815A6" w:rsidP="00B77EF7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Postotak izvršenja ugovora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23AEC71" w14:textId="77777777" w:rsidR="00F815A6" w:rsidRPr="009D005B" w:rsidRDefault="00F815A6" w:rsidP="00B77EF7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98D9467" w14:textId="165259E2" w:rsidR="00F815A6" w:rsidRPr="009D005B" w:rsidRDefault="00552E50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FPZG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0782F5BC" w14:textId="5A86D8BC" w:rsidR="00F815A6" w:rsidRPr="009D005B" w:rsidRDefault="00452317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  <w:r w:rsidR="004D6304">
              <w:rPr>
                <w:i/>
                <w:sz w:val="20"/>
              </w:rPr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4619D742" w14:textId="3DE5EBA2" w:rsidR="00F815A6" w:rsidRPr="009D005B" w:rsidRDefault="004D6304" w:rsidP="004D63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  <w:r w:rsidR="00F815A6" w:rsidRPr="009D005B">
              <w:rPr>
                <w:i/>
                <w:sz w:val="20"/>
              </w:rPr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863CE06" w14:textId="3E524B3D" w:rsidR="00F815A6" w:rsidRPr="009D005B" w:rsidRDefault="004D6304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  <w:r w:rsidR="006C6CFC">
              <w:rPr>
                <w:i/>
                <w:sz w:val="20"/>
              </w:rPr>
              <w:t>%</w:t>
            </w:r>
          </w:p>
        </w:tc>
      </w:tr>
    </w:tbl>
    <w:p w14:paraId="4DD0FF61" w14:textId="77777777" w:rsidR="004E02C5" w:rsidRPr="009D005B" w:rsidRDefault="004E02C5" w:rsidP="00EF05CF">
      <w:pPr>
        <w:jc w:val="both"/>
      </w:pPr>
    </w:p>
    <w:sectPr w:rsidR="004E02C5" w:rsidRPr="009D00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96EDC" w14:textId="77777777" w:rsidR="00E531E6" w:rsidRDefault="00E531E6">
      <w:pPr>
        <w:spacing w:after="0" w:line="240" w:lineRule="auto"/>
      </w:pPr>
      <w:r>
        <w:separator/>
      </w:r>
    </w:p>
  </w:endnote>
  <w:endnote w:type="continuationSeparator" w:id="0">
    <w:p w14:paraId="1E8CAA94" w14:textId="77777777" w:rsidR="00E531E6" w:rsidRDefault="00E5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70A550F1" w14:textId="77777777"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88">
          <w:rPr>
            <w:noProof/>
          </w:rPr>
          <w:t>4</w:t>
        </w:r>
        <w:r>
          <w:fldChar w:fldCharType="end"/>
        </w:r>
      </w:p>
    </w:sdtContent>
  </w:sdt>
  <w:p w14:paraId="111F27D6" w14:textId="77777777" w:rsidR="009D005B" w:rsidRDefault="00C83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6EAC" w14:textId="77777777" w:rsidR="00E531E6" w:rsidRDefault="00E531E6">
      <w:pPr>
        <w:spacing w:after="0" w:line="240" w:lineRule="auto"/>
      </w:pPr>
      <w:r>
        <w:separator/>
      </w:r>
    </w:p>
  </w:footnote>
  <w:footnote w:type="continuationSeparator" w:id="0">
    <w:p w14:paraId="35AD3C09" w14:textId="77777777" w:rsidR="00E531E6" w:rsidRDefault="00E53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C3720"/>
    <w:rsid w:val="001B0F7A"/>
    <w:rsid w:val="001B3688"/>
    <w:rsid w:val="00220BF7"/>
    <w:rsid w:val="0022572E"/>
    <w:rsid w:val="00227D81"/>
    <w:rsid w:val="002C7121"/>
    <w:rsid w:val="002D444E"/>
    <w:rsid w:val="003239CD"/>
    <w:rsid w:val="00324025"/>
    <w:rsid w:val="00364BA6"/>
    <w:rsid w:val="003A453F"/>
    <w:rsid w:val="003B12B8"/>
    <w:rsid w:val="003B2CF0"/>
    <w:rsid w:val="003D6A33"/>
    <w:rsid w:val="003F3232"/>
    <w:rsid w:val="00441DEA"/>
    <w:rsid w:val="00452317"/>
    <w:rsid w:val="00474EAA"/>
    <w:rsid w:val="004C3A59"/>
    <w:rsid w:val="004C40D6"/>
    <w:rsid w:val="004C6E51"/>
    <w:rsid w:val="004D6304"/>
    <w:rsid w:val="004E02C5"/>
    <w:rsid w:val="004F06D2"/>
    <w:rsid w:val="00516329"/>
    <w:rsid w:val="00532418"/>
    <w:rsid w:val="00552E50"/>
    <w:rsid w:val="00585281"/>
    <w:rsid w:val="005953F3"/>
    <w:rsid w:val="005B340A"/>
    <w:rsid w:val="006A1547"/>
    <w:rsid w:val="006C6CFC"/>
    <w:rsid w:val="00703212"/>
    <w:rsid w:val="007409F4"/>
    <w:rsid w:val="00791222"/>
    <w:rsid w:val="007A2BC9"/>
    <w:rsid w:val="0080295E"/>
    <w:rsid w:val="008223B8"/>
    <w:rsid w:val="0083023C"/>
    <w:rsid w:val="0083423C"/>
    <w:rsid w:val="00846E65"/>
    <w:rsid w:val="008537DB"/>
    <w:rsid w:val="008750BD"/>
    <w:rsid w:val="00877A33"/>
    <w:rsid w:val="008D0881"/>
    <w:rsid w:val="008D1E71"/>
    <w:rsid w:val="008E0EFD"/>
    <w:rsid w:val="009A65A8"/>
    <w:rsid w:val="009E2203"/>
    <w:rsid w:val="009F6780"/>
    <w:rsid w:val="00A42ED6"/>
    <w:rsid w:val="00AE6F1F"/>
    <w:rsid w:val="00B3415F"/>
    <w:rsid w:val="00B7598C"/>
    <w:rsid w:val="00BB47B9"/>
    <w:rsid w:val="00BC3FEF"/>
    <w:rsid w:val="00BD7FDD"/>
    <w:rsid w:val="00BE741E"/>
    <w:rsid w:val="00C34D5C"/>
    <w:rsid w:val="00C833D5"/>
    <w:rsid w:val="00C84559"/>
    <w:rsid w:val="00CB764D"/>
    <w:rsid w:val="00D3081C"/>
    <w:rsid w:val="00D46843"/>
    <w:rsid w:val="00D70DC0"/>
    <w:rsid w:val="00D85116"/>
    <w:rsid w:val="00DA7AFE"/>
    <w:rsid w:val="00DB5CD7"/>
    <w:rsid w:val="00E16FD6"/>
    <w:rsid w:val="00E46AC3"/>
    <w:rsid w:val="00E531E6"/>
    <w:rsid w:val="00EF05CF"/>
    <w:rsid w:val="00EF0A99"/>
    <w:rsid w:val="00EF0CB9"/>
    <w:rsid w:val="00F12286"/>
    <w:rsid w:val="00F8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99DB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Marija Brnadić</cp:lastModifiedBy>
  <cp:revision>4</cp:revision>
  <dcterms:created xsi:type="dcterms:W3CDTF">2023-12-07T13:30:00Z</dcterms:created>
  <dcterms:modified xsi:type="dcterms:W3CDTF">2023-12-11T13:19:00Z</dcterms:modified>
</cp:coreProperties>
</file>